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5588" w:type="dxa"/>
        <w:tblLook w:val="0000" w:firstRow="0" w:lastRow="0" w:firstColumn="0" w:lastColumn="0" w:noHBand="0" w:noVBand="0"/>
      </w:tblPr>
      <w:tblGrid>
        <w:gridCol w:w="5148"/>
        <w:gridCol w:w="5220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r/>
            <w:r/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</w:pPr>
            <w:r>
              <w:t xml:space="preserve">Начальник управления эксплуатации и </w:t>
            </w:r>
            <w:r>
              <w:t xml:space="preserve">ТОиР</w:t>
            </w:r>
            <w:r/>
          </w:p>
          <w:p>
            <w:pPr>
              <w:jc w:val="right"/>
            </w:pPr>
            <w:r>
              <w:t xml:space="preserve">филиала ПАО «</w:t>
            </w:r>
            <w:r>
              <w:t xml:space="preserve">Россети</w:t>
            </w:r>
            <w:r>
              <w:t xml:space="preserve"> Урал» - «Пермэнерго»</w:t>
            </w:r>
            <w:r/>
          </w:p>
          <w:p>
            <w:pPr>
              <w:jc w:val="right"/>
            </w:pPr>
            <w:r/>
            <w:r/>
          </w:p>
          <w:p>
            <w:pPr>
              <w:jc w:val="right"/>
              <w:rPr>
                <w:highlight w:val="none"/>
              </w:rPr>
            </w:pPr>
            <w:r>
              <w:t xml:space="preserve">________________ </w:t>
            </w:r>
            <w:r>
              <w:t xml:space="preserve">М.А. Кулаков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b/>
                <w:bCs/>
              </w:rPr>
            </w:pPr>
            <w:r>
              <w:rPr>
                <w:highlight w:val="none"/>
              </w:rPr>
              <w:t xml:space="preserve">«_____»_____________________2026г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</w:tbl>
    <w:p>
      <w:pPr>
        <w:ind w:left="1083" w:hanging="1083"/>
        <w:tabs>
          <w:tab w:val="left" w:pos="5746" w:leader="none"/>
        </w:tabs>
      </w:pPr>
      <w:r>
        <w:rPr>
          <w:b/>
        </w:rPr>
        <w:tab/>
      </w:r>
      <w:r>
        <w:rPr>
          <w:b/>
        </w:rPr>
        <w:tab/>
      </w:r>
      <w:r/>
    </w:p>
    <w:p>
      <w:pPr>
        <w:ind w:left="1083" w:hanging="1083"/>
        <w:tabs>
          <w:tab w:val="left" w:pos="5746" w:leader="none"/>
        </w:tabs>
      </w:pPr>
      <w:r>
        <w:tab/>
      </w:r>
      <w:r>
        <w:tab/>
      </w:r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36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  <w:t xml:space="preserve">ТЕХНИЧЕСКАЯ ЧАСТЬ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</w:p>
    <w:p>
      <w:pPr>
        <w:pStyle w:val="1059"/>
        <w:jc w:val="center"/>
        <w:rPr>
          <w:b/>
        </w:rPr>
      </w:pPr>
      <w:r>
        <w:rPr>
          <w:b/>
        </w:rPr>
        <w:t xml:space="preserve"> (Техническое задание)</w:t>
      </w:r>
      <w:r>
        <w:rPr>
          <w:b/>
        </w:rPr>
      </w:r>
      <w:r>
        <w:rPr>
          <w:b/>
        </w:rPr>
      </w:r>
    </w:p>
    <w:p>
      <w:pPr>
        <w:pStyle w:val="1059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59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5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право заключения договора </w:t>
      </w:r>
      <w:r>
        <w:rPr>
          <w:b/>
          <w:sz w:val="24"/>
          <w:szCs w:val="24"/>
        </w:rPr>
        <w:t xml:space="preserve">на </w:t>
      </w:r>
      <w:bookmarkStart w:id="0" w:name="_GoBack"/>
      <w:r>
        <w:rPr>
          <w:b/>
          <w:bCs/>
          <w:sz w:val="24"/>
          <w:szCs w:val="24"/>
        </w:rPr>
      </w:r>
      <w:bookmarkEnd w:id="0"/>
      <w:r>
        <w:rPr>
          <w:b/>
          <w:sz w:val="24"/>
          <w:szCs w:val="24"/>
        </w:rPr>
        <w:t xml:space="preserve">поставку </w:t>
      </w:r>
      <w:r>
        <w:rPr>
          <w:b/>
          <w:sz w:val="24"/>
          <w:szCs w:val="24"/>
        </w:rPr>
        <w:t xml:space="preserve">комплектующих для штукатурных работ и выравнивания полов (ПЭ)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1036"/>
        <w:numPr>
          <w:ilvl w:val="0"/>
          <w:numId w:val="44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</w:rPr>
      </w:pP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Общие сведения о предмете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сравнения цен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 в электронной форме,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участниками которого могут быть только субъекты МСП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</w:rPr>
        <w:t xml:space="preserve">(да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</w:p>
    <w:p>
      <w:pPr>
        <w:pStyle w:val="1056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sz w:val="24"/>
          <w:szCs w:val="24"/>
          <w14:ligatures w14:val="none"/>
        </w:rPr>
      </w:pPr>
      <w:r>
        <w:t xml:space="preserve">Право заключения договор</w:t>
      </w:r>
      <w:r>
        <w:t xml:space="preserve">а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комплектующих для штукатурных работ и выравнивания полов (ПЭ)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pStyle w:val="1056"/>
        <w:numPr>
          <w:ilvl w:val="2"/>
          <w:numId w:val="20"/>
        </w:numPr>
        <w:jc w:val="both"/>
        <w:tabs>
          <w:tab w:val="left" w:pos="426" w:leader="none"/>
          <w:tab w:val="left" w:pos="709" w:leader="none"/>
        </w:tabs>
        <w:rPr>
          <w:b/>
        </w:rPr>
      </w:pPr>
      <w:r>
        <w:t xml:space="preserve">План закупки 2026 года, з</w:t>
      </w:r>
      <w:r>
        <w:t xml:space="preserve">акупка/лот (ID заявки) №</w:t>
      </w:r>
      <w:r>
        <w:t xml:space="preserve">59848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ПАО «</w:t>
      </w:r>
      <w:r>
        <w:t xml:space="preserve">Россети</w:t>
      </w:r>
      <w:r>
        <w:t xml:space="preserve"> Урал»-филиал «Пермэнерго».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поставки: </w:t>
      </w:r>
      <w:r>
        <w:t xml:space="preserve">территория Пермского края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1056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</w:rPr>
      </w:pPr>
      <w:r>
        <w:rPr>
          <w:b/>
          <w:bCs/>
        </w:rPr>
        <w:t xml:space="preserve">Срок </w:t>
      </w:r>
      <w:r>
        <w:rPr>
          <w:b/>
          <w:bCs/>
        </w:rPr>
        <w:t xml:space="preserve">поставки</w:t>
      </w:r>
      <w:r>
        <w:rPr>
          <w:rStyle w:val="1069"/>
          <w:b/>
          <w:bCs/>
        </w:rPr>
        <w:footnoteReference w:id="2"/>
      </w:r>
      <w:r>
        <w:rPr>
          <w:b/>
          <w:bCs/>
        </w:rPr>
        <w:t xml:space="preserve">: </w:t>
      </w:r>
      <w:r>
        <w:rPr>
          <w:b/>
          <w:bCs/>
        </w:rPr>
      </w:r>
      <w:r>
        <w:rPr>
          <w:b/>
          <w:bCs/>
        </w:rPr>
      </w:r>
    </w:p>
    <w:p>
      <w:pPr>
        <w:pStyle w:val="1056"/>
        <w:ind w:left="0"/>
        <w:jc w:val="both"/>
      </w:pPr>
      <w:r>
        <w:t xml:space="preserve">Потребность 1-3 кварталов 202</w:t>
      </w:r>
      <w:r>
        <w:t xml:space="preserve">6</w:t>
      </w:r>
      <w:r>
        <w:t xml:space="preserve">:</w:t>
      </w:r>
      <w:r>
        <w:t xml:space="preserve"> </w:t>
      </w:r>
      <w:r>
        <w:t xml:space="preserve">в течение 30 календарных дней с момента заключения договора;</w:t>
      </w:r>
      <w:r/>
    </w:p>
    <w:p>
      <w:r/>
      <w:r/>
    </w:p>
    <w:p>
      <w:pPr>
        <w:ind w:left="0" w:firstLine="0"/>
        <w:jc w:val="both"/>
      </w:pPr>
      <w:r>
        <w:t xml:space="preserve">1.5.1. </w:t>
      </w:r>
      <w:r>
        <w:t xml:space="preserve">Участник закупки должен осуществить поставку продукции в требуемых объемах и не позднее сроков, приведенных в Ценовом предложении (Приложение №4 к Техническому заданию). Заявки, не обеспечивающие поставку продукции в указанные сроки, к участию в заку</w:t>
      </w:r>
      <w:r>
        <w:t xml:space="preserve">пке не допускаются.</w:t>
      </w:r>
      <w:r/>
    </w:p>
    <w:p>
      <w:pPr>
        <w:pStyle w:val="1056"/>
        <w:ind w:left="0"/>
        <w:jc w:val="both"/>
        <w:tabs>
          <w:tab w:val="left" w:pos="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</w:pPr>
      <w:r>
        <w:rPr>
          <w:b/>
        </w:rPr>
        <w:t xml:space="preserve">Источник финансирования: </w:t>
      </w:r>
      <w:r>
        <w:t xml:space="preserve">Основная деятельность</w:t>
      </w:r>
      <w:r>
        <w:t xml:space="preserve">.</w:t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1238"/>
        <w:gridCol w:w="2346"/>
        <w:gridCol w:w="2346"/>
        <w:gridCol w:w="2214"/>
        <w:gridCol w:w="2062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59848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Пост</w:t>
            </w:r>
            <w:r>
              <w:rPr>
                <w:b w:val="0"/>
                <w:bCs w:val="0"/>
                <w:sz w:val="20"/>
                <w:szCs w:val="20"/>
              </w:rPr>
              <w:t xml:space="preserve">авка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комплектующих для штукатурных работ и выравнивания полов (ПЭ)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182 931,68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62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24.20.14.120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</w:tbl>
    <w:p>
      <w:pPr>
        <w:jc w:val="both"/>
        <w:tabs>
          <w:tab w:val="num" w:pos="0" w:leader="none"/>
        </w:tabs>
      </w:pPr>
      <w:r>
        <w:tab/>
      </w:r>
      <w:r>
        <w:t xml:space="preserve">Начальная (максимальная) ц</w:t>
      </w:r>
      <w: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/>
    </w:p>
    <w:p>
      <w:pPr>
        <w:jc w:val="both"/>
        <w:tabs>
          <w:tab w:val="num" w:pos="0" w:leader="none"/>
        </w:tabs>
      </w:pPr>
      <w:r>
        <w:tab/>
      </w:r>
      <w:r>
        <w:rPr>
          <w:b/>
        </w:rPr>
        <w:tab/>
      </w:r>
      <w:r/>
    </w:p>
    <w:p>
      <w:pPr>
        <w:pStyle w:val="1056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sz w:val="22"/>
        </w:rPr>
      </w:pPr>
      <w:r>
        <w:rPr>
          <w:b/>
        </w:rPr>
        <w:t xml:space="preserve">Условия оплаты:</w:t>
      </w:r>
      <w:r>
        <w:rPr>
          <w:sz w:val="22"/>
        </w:rPr>
      </w:r>
      <w:r>
        <w:rPr>
          <w:sz w:val="22"/>
        </w:rPr>
      </w:r>
    </w:p>
    <w:p>
      <w:pPr>
        <w:jc w:val="both"/>
        <w:widowControl w:val="off"/>
        <w:tabs>
          <w:tab w:val="num" w:pos="0" w:leader="none"/>
        </w:tabs>
      </w:pPr>
      <w:r>
        <w:t xml:space="preserve">Оплата производится за продукцию по безналичному расчету путем перечисления денежных средств на расчетный счет По</w:t>
      </w:r>
      <w:r>
        <w:t xml:space="preserve">ставщика в течение 7 (семи)</w:t>
      </w:r>
      <w:r>
        <w:t xml:space="preserve"> </w:t>
      </w:r>
      <w:r>
        <w:t xml:space="preserve">рабочих </w:t>
      </w:r>
      <w: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</w:t>
      </w:r>
      <w:r>
        <w:t xml:space="preserve">2.4.</w:t>
      </w:r>
      <w:r>
        <w:t xml:space="preserve"> Договора (Приложение №3 к настоящему ТЗ).</w:t>
      </w:r>
      <w:r/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pStyle w:val="1044"/>
        <w:numPr>
          <w:ilvl w:val="1"/>
          <w:numId w:val="27"/>
        </w:num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Требования, предъявляемые к поставке продукции: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1.9.1.Поставка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1.9.2. 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</w:pPr>
      <w:r>
        <w:rPr>
          <w:highlight w:val="none"/>
        </w:rPr>
        <w:t xml:space="preserve">1.9.3.Вместе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/>
    </w:p>
    <w:p>
      <w:pPr>
        <w:pStyle w:val="1056"/>
        <w:ind w:left="0"/>
        <w:jc w:val="both"/>
        <w:widowControl w:val="off"/>
        <w:tabs>
          <w:tab w:val="left" w:pos="42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56"/>
        <w:numPr>
          <w:ilvl w:val="1"/>
          <w:numId w:val="27"/>
        </w:numPr>
        <w:jc w:val="both"/>
        <w:widowControl w:val="off"/>
        <w:tabs>
          <w:tab w:val="left" w:pos="709" w:leader="none"/>
        </w:tabs>
      </w:pPr>
      <w:r>
        <w:rPr>
          <w:b/>
        </w:rPr>
        <w:t xml:space="preserve">Требования, предъявляемые к продукции:</w:t>
      </w:r>
      <w:r/>
    </w:p>
    <w:p>
      <w:pPr>
        <w:ind w:left="0" w:firstLine="0"/>
        <w:jc w:val="both"/>
        <w:widowControl w:val="off"/>
      </w:pPr>
      <w:r>
        <w:rPr>
          <w:highlight w:val="none"/>
        </w:rPr>
      </w:r>
      <w:r>
        <w:rPr>
          <w:highlight w:val="none"/>
        </w:rPr>
        <w:t xml:space="preserve">1.10.1. 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/>
    </w:p>
    <w:p>
      <w:pPr>
        <w:jc w:val="both"/>
        <w:widowControl w:val="off"/>
      </w:pPr>
      <w:r>
        <w:t xml:space="preserve">Поставляемые материалы и оборудование должны соответствовать техническим требованиям ПАО «</w:t>
      </w:r>
      <w:r>
        <w:t xml:space="preserve">Россети</w:t>
      </w:r>
      <w:r>
        <w:t xml:space="preserve">» и иметь копию заключения о Проверке качества, подтверждающего возможность применения продукции на объектах группы компаний «</w:t>
      </w:r>
      <w:r>
        <w:t xml:space="preserve">Россети</w:t>
      </w:r>
      <w:r>
        <w:t xml:space="preserve">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п.4.3.4.Договора - Приложение №2 к настоящему ТЗ)</w:t>
      </w:r>
      <w:r>
        <w:rPr>
          <w:vertAlign w:val="superscript"/>
        </w:rPr>
        <w:t xml:space="preserve">[</w:t>
      </w:r>
      <w:r>
        <w:rPr>
          <w:rStyle w:val="1069"/>
        </w:rPr>
        <w:footnoteReference w:id="3"/>
      </w:r>
      <w:r>
        <w:rPr>
          <w:vertAlign w:val="superscript"/>
        </w:rPr>
        <w:t xml:space="preserve">]</w:t>
      </w:r>
      <w:r>
        <w:t xml:space="preserve">. </w:t>
      </w:r>
      <w:r/>
    </w:p>
    <w:p>
      <w:pPr>
        <w:ind w:left="0" w:firstLine="0"/>
        <w:jc w:val="both"/>
      </w:pPr>
      <w:r>
        <w:t xml:space="preserve">1.10.2. </w:t>
      </w:r>
      <w: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№4 к Извещению (при условии их наличия в ТЗ).</w:t>
      </w:r>
      <w:r/>
    </w:p>
    <w:p>
      <w:pPr>
        <w:ind w:left="0" w:firstLine="0"/>
        <w:jc w:val="both"/>
        <w:widowControl w:val="off"/>
        <w:tabs>
          <w:tab w:val="left" w:pos="709" w:leader="none"/>
        </w:tabs>
      </w:pPr>
      <w:r>
        <w:t xml:space="preserve">1.10.3.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</w:t>
      </w:r>
      <w:r>
        <w:t xml:space="preserve">казываемой продукции и опросным листам, чертежам (при их наличии). 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/>
    </w:p>
    <w:p>
      <w:pPr>
        <w:ind w:left="0" w:firstLine="0"/>
        <w:jc w:val="both"/>
        <w:widowControl w:val="off"/>
        <w:tabs>
          <w:tab w:val="left" w:pos="709" w:leader="none"/>
        </w:tabs>
      </w:pPr>
      <w:r>
        <w:t xml:space="preserve">1.10.4. Факторы, оказывающие вредные воздействия на здоровье со стороны продукции не должны превышать действующих норм для обслуживающего и ремонтного персо</w:t>
      </w:r>
      <w:r>
        <w:t xml:space="preserve">нала. 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/>
    </w:p>
    <w:p>
      <w:pPr>
        <w:ind w:left="0" w:firstLine="0"/>
        <w:jc w:val="both"/>
        <w:widowControl w:val="off"/>
        <w:tabs>
          <w:tab w:val="left" w:pos="567" w:leader="none"/>
        </w:tabs>
      </w:pPr>
      <w:r>
        <w:t xml:space="preserve">1.10.5. 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</w:t>
      </w:r>
      <w:r>
        <w:t xml:space="preserve">Срок изготовления </w:t>
      </w:r>
      <w:r>
        <w:t xml:space="preserve">не ранее 4</w:t>
      </w:r>
      <w:r>
        <w:t xml:space="preserve"> квартала 202</w:t>
      </w:r>
      <w:r>
        <w:t xml:space="preserve">5</w:t>
      </w:r>
      <w:r>
        <w:t xml:space="preserve">г.</w:t>
      </w:r>
      <w:r/>
    </w:p>
    <w:p>
      <w:pPr>
        <w:pStyle w:val="1056"/>
        <w:ind w:left="0"/>
        <w:jc w:val="both"/>
        <w:widowControl w:val="off"/>
        <w:tabs>
          <w:tab w:val="left" w:pos="567" w:leader="none"/>
        </w:tabs>
      </w:pPr>
      <w:r>
        <w:rPr>
          <w:color w:val="000000" w:themeColor="text1"/>
        </w:rPr>
        <w:t xml:space="preserve">Технические требования к продукции:</w:t>
      </w:r>
      <w:r/>
    </w:p>
    <w:p>
      <w:pPr>
        <w:ind w:left="0" w:firstLine="0"/>
        <w:jc w:val="both"/>
        <w:tabs>
          <w:tab w:val="num" w:pos="0" w:leader="none"/>
          <w:tab w:val="left" w:pos="426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1.10.6. Технические требования к продукции: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  <w:widowControl w:val="off"/>
        <w:tabs>
          <w:tab w:val="num" w:pos="0" w:leader="none"/>
          <w:tab w:val="left" w:pos="709" w:leader="none"/>
          <w:tab w:val="left" w:pos="3594" w:leader="none"/>
        </w:tabs>
        <w:rPr>
          <w:bCs/>
          <w:i/>
          <w:highlight w:val="none"/>
        </w:rPr>
      </w:pPr>
      <w:r>
        <w:rPr>
          <w:i/>
          <w:highlight w:val="none"/>
        </w:rPr>
      </w:r>
      <w:r>
        <w:rPr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</w:t>
      </w:r>
      <w:r>
        <w:rPr>
          <w:i/>
          <w:highlight w:val="none"/>
        </w:rPr>
        <w:t xml:space="preserve"> 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jc w:val="both"/>
        <w:tabs>
          <w:tab w:val="left" w:pos="426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70"/>
        <w:numPr>
          <w:ilvl w:val="0"/>
          <w:numId w:val="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2. 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71"/>
        <w:numPr>
          <w:ilvl w:val="0"/>
          <w:numId w:val="0"/>
        </w:numPr>
        <w:ind w:left="0" w:firstLine="0"/>
        <w:rPr>
          <w:highlight w:val="none"/>
        </w:rPr>
      </w:pPr>
      <w:r>
        <w:rPr>
          <w:highlight w:val="none"/>
        </w:rPr>
        <w:t xml:space="preserve">2.1. 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72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2.1.1. </w:t>
      </w: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72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  <w:lang w:eastAsia="ja-JP"/>
        </w:rPr>
      </w:pPr>
      <w:r>
        <w:rPr>
          <w:rFonts w:eastAsia="MS Mincho"/>
          <w:highlight w:val="none"/>
          <w:lang w:eastAsia="ja-JP"/>
        </w:rPr>
        <w:t xml:space="preserve">2.1.2. </w:t>
      </w: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  <w:lang w:eastAsia="ja-JP"/>
        </w:rPr>
      </w:r>
    </w:p>
    <w:p>
      <w:pPr>
        <w:pStyle w:val="1072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2.1.3. 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72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  <w:r/>
    </w:p>
    <w:p>
      <w:pPr>
        <w:pStyle w:val="1070"/>
        <w:numPr>
          <w:ilvl w:val="0"/>
          <w:numId w:val="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highlight w:val="none"/>
          <w14:ligatures w14:val="none"/>
        </w:rPr>
      </w:pPr>
      <w:r>
        <w:rPr>
          <w:rFonts w:eastAsia="SimSun"/>
          <w:highlight w:val="none"/>
        </w:rPr>
        <w:t xml:space="preserve">3.</w:t>
        <w:tab/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</w:t>
        <w:tab/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3.1.1.</w:t>
        <w:tab/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</w:t>
      </w:r>
      <w:r>
        <w:rPr>
          <w:rFonts w:eastAsia="Calibri"/>
          <w:szCs w:val="24"/>
          <w:highlight w:val="none"/>
        </w:rPr>
        <w:t xml:space="preserve">.1.2.</w:t>
        <w:tab/>
        <w:t xml:space="preserve">Участник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</w:t>
      </w:r>
      <w:r>
        <w:rPr>
          <w:rFonts w:eastAsia="Calibri"/>
          <w:szCs w:val="24"/>
          <w:highlight w:val="none"/>
        </w:rPr>
        <w:t xml:space="preserve">ента снижения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3.1.3.</w:t>
        <w:tab/>
        <w:t xml:space="preserve">Применяемый «Единый итоговый коэффициент снижения Участника на виды продукции (0&lt;K≤1)» является единым для всех видов продукции. 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3.1.4.</w:t>
        <w:tab/>
        <w:t xml:space="preserve">В столбце «Ставка НДС, %» Участник указывает размер применяемой ставки НДС в процентах (5, 10, 22 и пр.). В случае применения упрощенной системы налогообложения (без НДС) в столбце «Ставка НДС, %»  указывается 0 или столбец не заполняется.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3.1.5.</w:t>
        <w:tab/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3.1.6.</w:t>
        <w:tab/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3.1.7.</w:t>
        <w:tab/>
        <w:t xml:space="preserve">В случае нарушения требований инструкции по заполнению (пп.3.1.1 - 3.1.6 настоящего Технического задания)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3.1.8.</w:t>
        <w:tab/>
        <w:t xml:space="preserve">Информация, указанная Участником в приложении № 4, в дальнейшем изменению не подлежит.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</w:rPr>
        <w:t xml:space="preserve">3.1.9.</w:t>
        <w:tab/>
        <w:t xml:space="preserve">Не заполнение Участником закупки столбцов, не помеченных «*» в приложении №4 к Техническому заданию,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/>
    </w:p>
    <w:p>
      <w:pPr>
        <w:pStyle w:val="1072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ind w:left="0" w:firstLine="0"/>
        <w:keepLines/>
        <w:spacing w:before="120" w:after="120"/>
        <w:rPr>
          <w:b/>
          <w:bCs/>
          <w:highlight w:val="none"/>
        </w:rPr>
      </w:pPr>
      <w:r>
        <w:rPr>
          <w:b/>
          <w:highlight w:val="none"/>
        </w:rPr>
        <w:t xml:space="preserve">4. Выбор победителя закупки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5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5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50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50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50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</w:r>
      <w:r>
        <w:rPr>
          <w:rFonts w:ascii="Times New Roman" w:hAnsi="Times New Roman" w:cs="Times New Roman"/>
          <w:b/>
          <w:bCs/>
          <w:i/>
          <w:color w:val="auto"/>
        </w:rPr>
      </w:r>
      <w:r>
        <w:rPr>
          <w:rFonts w:ascii="Times New Roman" w:hAnsi="Times New Roman" w:cs="Times New Roman"/>
          <w:b/>
          <w:bCs/>
          <w:i/>
          <w:color w:val="auto"/>
        </w:rPr>
      </w:r>
    </w:p>
    <w:p>
      <w:pPr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Style w:val="1065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1065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t xml:space="preserve">Обоснование начальной (максимальной) цены договора (форма).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rStyle w:val="106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65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65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65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5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6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6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6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6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/>
      <w:r/>
    </w:p>
    <w:p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right="76"/>
        <w:jc w:val="both"/>
        <w:rPr>
          <w:b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</w:rPr>
      </w:r>
      <w:r>
        <w:rPr>
          <w:b/>
        </w:rPr>
      </w:r>
    </w:p>
    <w:p>
      <w:pPr>
        <w:ind w:left="5387"/>
        <w:pageBreakBefore/>
      </w:pPr>
      <w:r>
        <w:t xml:space="preserve">Приложение 1 к Техническому заданию </w:t>
      </w:r>
      <w:r/>
    </w:p>
    <w:p>
      <w:pPr>
        <w:ind w:left="5387"/>
        <w:rPr>
          <w:bCs/>
        </w:rPr>
      </w:pPr>
      <w:r>
        <w:t xml:space="preserve">(обязательное)</w:t>
      </w:r>
      <w:r>
        <w:rPr>
          <w:bCs/>
        </w:rPr>
      </w:r>
      <w:r>
        <w:rPr>
          <w:bCs/>
        </w:rPr>
      </w:r>
    </w:p>
    <w:p>
      <w:pPr>
        <w:pStyle w:val="106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6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line="343" w:lineRule="atLeast"/>
        <w:shd w:val="clear" w:color="auto" w:fill="ffffff"/>
        <w:rPr>
          <w:b w:val="0"/>
          <w:bCs w:val="0"/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Поставк</w:t>
      </w:r>
      <w:r>
        <w:rPr>
          <w:b w:val="0"/>
          <w:bCs w:val="0"/>
          <w:sz w:val="28"/>
          <w:szCs w:val="28"/>
        </w:rPr>
        <w:t xml:space="preserve">а </w:t>
      </w:r>
      <w:r>
        <w:rPr>
          <w:b w:val="0"/>
          <w:bCs w:val="0"/>
          <w:sz w:val="28"/>
          <w:szCs w:val="28"/>
        </w:rPr>
        <w:t xml:space="preserve">комплектующих для штукатурных работ и выравнивания полов (ПЭ)</w:t>
        <w:tab/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ind w:firstLine="851"/>
        <w:jc w:val="center"/>
        <w:spacing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(указывается предмет закупки)</w:t>
      </w:r>
      <w:bookmarkStart w:id="4" w:name="l152"/>
      <w:r/>
      <w:bookmarkEnd w:id="4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bookmarkStart w:id="5" w:name="l55"/>
            <w:r>
              <w:rPr>
                <w:sz w:val="28"/>
                <w:szCs w:val="28"/>
              </w:rPr>
            </w:r>
            <w:bookmarkEnd w:id="5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182 931,68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руб. с НДС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Нормативный метод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ЕСЗ (Единый Стандарт Закупок)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№1.1. к ТЗ – Расчет НМЦ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pPr>
        <w:pStyle w:val="1044"/>
        <w:ind w:firstLine="708"/>
        <w:jc w:val="both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highlight w:val="none"/>
        </w:rPr>
      </w:pPr>
      <w:r>
        <w:rPr>
          <w:b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Ведущий специалист, </w:t>
            </w:r>
            <w:r>
              <w:rPr>
                <w:sz w:val="20"/>
                <w:szCs w:val="20"/>
                <w:highlight w:val="none"/>
              </w:rPr>
              <w:t xml:space="preserve">УЛиМТО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Казанцев Николай Александрович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tabs>
          <w:tab w:val="num" w:pos="0" w:leader="none"/>
        </w:tabs>
      </w:pPr>
      <w:r/>
      <w:r/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0"/>
      <w:rPr>
        <w:rStyle w:val="1062"/>
      </w:rPr>
      <w:framePr w:wrap="around" w:vAnchor="text" w:hAnchor="margin" w:xAlign="center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10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9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</w:footnote>
  <w:footnote w:id="3">
    <w:p>
      <w:pPr>
        <w:pStyle w:val="1067"/>
        <w:jc w:val="both"/>
        <w:rPr>
          <w:sz w:val="18"/>
          <w:szCs w:val="18"/>
        </w:rPr>
      </w:pPr>
      <w:r>
        <w:rPr>
          <w:rStyle w:val="1069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</w:t>
      </w:r>
      <w:r>
        <w:rPr>
          <w:bCs/>
        </w:rPr>
        <w:t xml:space="preserve">Россети</w:t>
      </w:r>
      <w:r>
        <w:rPr>
          <w:bCs/>
        </w:rPr>
        <w:t xml:space="preserve">» (протокол заседания Правления ОАО «</w:t>
      </w:r>
      <w:r>
        <w:rPr>
          <w:bCs/>
        </w:rPr>
        <w:t xml:space="preserve">Россети</w:t>
      </w:r>
      <w:r>
        <w:rPr>
          <w:bCs/>
        </w:rPr>
        <w:t xml:space="preserve">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57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</w:t>
      </w:r>
      <w:r>
        <w:rPr>
          <w:bCs/>
        </w:rPr>
        <w:t xml:space="preserve">Россети</w:t>
      </w:r>
      <w:r>
        <w:rPr>
          <w:bCs/>
        </w:rPr>
        <w:t xml:space="preserve">», и размещается на официальном сайте ПАО «</w:t>
      </w:r>
      <w:r>
        <w:rPr>
          <w:bCs/>
        </w:rPr>
        <w:t xml:space="preserve">Россети</w:t>
      </w:r>
      <w:r>
        <w:rPr>
          <w:bCs/>
        </w:rPr>
        <w:t xml:space="preserve">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57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7"/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7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color w:val="000000" w:themeColor="text1"/>
      </w:rPr>
    </w:lvl>
    <w:lvl w:ilvl="1">
      <w:start w:val="106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  <w:color w:val="000000" w:themeColor="text1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440" w:hanging="84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20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2640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3" w:hanging="435"/>
      </w:pPr>
      <w:rPr>
        <w:rFonts w:ascii="Times New Roman" w:hAnsi="Times New Roman" w:eastAsia="Calibri" w:cs="Times New Roman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712" w:hanging="43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77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553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26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3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2706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03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0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37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71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70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48" w:hanging="2160"/>
      </w:pPr>
      <w:rPr>
        <w:rFonts w:hint="default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020" w:hanging="660"/>
      </w:pPr>
      <w:rPr>
        <w:rFonts w:hint="default" w:eastAsia="Times New Roman"/>
        <w:i/>
      </w:rPr>
    </w:lvl>
    <w:lvl w:ilvl="2">
      <w:start w:val="7"/>
      <w:numFmt w:val="decimal"/>
      <w:isLgl/>
      <w:suff w:val="tab"/>
      <w:lvlText w:val="%1.%2.%3."/>
      <w:lvlJc w:val="left"/>
      <w:pPr>
        <w:ind w:left="1430" w:hanging="720"/>
      </w:pPr>
      <w:rPr>
        <w:rFonts w:hint="default" w:eastAsia="Times New Roman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eastAsia="Times New Roman"/>
        <w:i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eastAsia="Times New Roman"/>
        <w:i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eastAsia="Times New Roman"/>
        <w:i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eastAsia="Times New Roman"/>
        <w:i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eastAsia="Times New Roman"/>
        <w:i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eastAsia="Times New Roman"/>
        <w:i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8"/>
  </w:num>
  <w:num w:numId="5">
    <w:abstractNumId w:val="24"/>
  </w:num>
  <w:num w:numId="6">
    <w:abstractNumId w:val="20"/>
  </w:num>
  <w:num w:numId="7">
    <w:abstractNumId w:val="16"/>
  </w:num>
  <w:num w:numId="8">
    <w:abstractNumId w:val="2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5"/>
  </w:num>
  <w:num w:numId="12">
    <w:abstractNumId w:val="19"/>
  </w:num>
  <w:num w:numId="13">
    <w:abstractNumId w:val="3"/>
  </w:num>
  <w:num w:numId="14">
    <w:abstractNumId w:val="5"/>
  </w:num>
  <w:num w:numId="15">
    <w:abstractNumId w:val="15"/>
  </w:num>
  <w:num w:numId="16">
    <w:abstractNumId w:val="23"/>
  </w:num>
  <w:num w:numId="17">
    <w:abstractNumId w:val="6"/>
  </w:num>
  <w:num w:numId="18">
    <w:abstractNumId w:val="22"/>
  </w:num>
  <w:num w:numId="19">
    <w:abstractNumId w:val="7"/>
  </w:num>
  <w:num w:numId="20">
    <w:abstractNumId w:val="26"/>
  </w:num>
  <w:num w:numId="21">
    <w:abstractNumId w:val="11"/>
  </w:num>
  <w:num w:numId="22">
    <w:abstractNumId w:val="12"/>
  </w:num>
  <w:num w:numId="23">
    <w:abstractNumId w:val="27"/>
  </w:num>
  <w:num w:numId="24">
    <w:abstractNumId w:val="18"/>
  </w:num>
  <w:num w:numId="25">
    <w:abstractNumId w:val="1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4"/>
  </w:num>
  <w:num w:numId="30">
    <w:abstractNumId w:val="9"/>
  </w:num>
  <w:num w:numId="31">
    <w:abstractNumId w:val="17"/>
  </w:num>
  <w:num w:numId="32">
    <w:abstractNumId w:val="29"/>
  </w:num>
  <w:num w:numId="33">
    <w:abstractNumId w:val="30"/>
  </w:num>
  <w:num w:numId="34">
    <w:abstractNumId w:val="31"/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  <w:num w:numId="46">
    <w:abstractNumId w:val="43"/>
  </w:num>
  <w:num w:numId="47">
    <w:abstractNumId w:val="44"/>
  </w:num>
  <w:num w:numId="48">
    <w:abstractNumId w:val="45"/>
  </w:num>
  <w:num w:numId="49">
    <w:abstractNumId w:val="46"/>
  </w:num>
  <w:num w:numId="50">
    <w:abstractNumId w:val="47"/>
  </w:num>
  <w:num w:numId="51">
    <w:abstractNumId w:val="48"/>
  </w:num>
  <w:num w:numId="52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5">
    <w:name w:val="Heading 1 Char"/>
    <w:basedOn w:val="1037"/>
    <w:link w:val="1033"/>
    <w:uiPriority w:val="9"/>
    <w:rPr>
      <w:rFonts w:ascii="Arial" w:hAnsi="Arial" w:eastAsia="Arial" w:cs="Arial"/>
      <w:sz w:val="40"/>
      <w:szCs w:val="40"/>
    </w:rPr>
  </w:style>
  <w:style w:type="character" w:styleId="866">
    <w:name w:val="Heading 2 Char"/>
    <w:basedOn w:val="1037"/>
    <w:link w:val="1034"/>
    <w:uiPriority w:val="9"/>
    <w:rPr>
      <w:rFonts w:ascii="Arial" w:hAnsi="Arial" w:eastAsia="Arial" w:cs="Arial"/>
      <w:sz w:val="34"/>
    </w:rPr>
  </w:style>
  <w:style w:type="character" w:styleId="867">
    <w:name w:val="Heading 3 Char"/>
    <w:basedOn w:val="1037"/>
    <w:link w:val="1035"/>
    <w:uiPriority w:val="9"/>
    <w:rPr>
      <w:rFonts w:ascii="Arial" w:hAnsi="Arial" w:eastAsia="Arial" w:cs="Arial"/>
      <w:sz w:val="30"/>
      <w:szCs w:val="30"/>
    </w:rPr>
  </w:style>
  <w:style w:type="paragraph" w:styleId="868">
    <w:name w:val="Heading 4"/>
    <w:basedOn w:val="1032"/>
    <w:next w:val="1032"/>
    <w:link w:val="8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9">
    <w:name w:val="Heading 4 Char"/>
    <w:basedOn w:val="1037"/>
    <w:link w:val="868"/>
    <w:uiPriority w:val="9"/>
    <w:rPr>
      <w:rFonts w:ascii="Arial" w:hAnsi="Arial" w:eastAsia="Arial" w:cs="Arial"/>
      <w:b/>
      <w:bCs/>
      <w:sz w:val="26"/>
      <w:szCs w:val="26"/>
    </w:rPr>
  </w:style>
  <w:style w:type="character" w:styleId="870">
    <w:name w:val="Heading 5 Char"/>
    <w:basedOn w:val="1037"/>
    <w:link w:val="1036"/>
    <w:uiPriority w:val="9"/>
    <w:rPr>
      <w:rFonts w:ascii="Arial" w:hAnsi="Arial" w:eastAsia="Arial" w:cs="Arial"/>
      <w:b/>
      <w:bCs/>
      <w:sz w:val="24"/>
      <w:szCs w:val="24"/>
    </w:rPr>
  </w:style>
  <w:style w:type="paragraph" w:styleId="871">
    <w:name w:val="Heading 6"/>
    <w:basedOn w:val="1032"/>
    <w:next w:val="1032"/>
    <w:link w:val="8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2">
    <w:name w:val="Heading 6 Char"/>
    <w:basedOn w:val="1037"/>
    <w:link w:val="871"/>
    <w:uiPriority w:val="9"/>
    <w:rPr>
      <w:rFonts w:ascii="Arial" w:hAnsi="Arial" w:eastAsia="Arial" w:cs="Arial"/>
      <w:b/>
      <w:bCs/>
      <w:sz w:val="22"/>
      <w:szCs w:val="22"/>
    </w:rPr>
  </w:style>
  <w:style w:type="paragraph" w:styleId="873">
    <w:name w:val="Heading 7"/>
    <w:basedOn w:val="1032"/>
    <w:next w:val="1032"/>
    <w:link w:val="8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4">
    <w:name w:val="Heading 7 Char"/>
    <w:basedOn w:val="1037"/>
    <w:link w:val="8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5">
    <w:name w:val="Heading 8"/>
    <w:basedOn w:val="1032"/>
    <w:next w:val="1032"/>
    <w:link w:val="8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6">
    <w:name w:val="Heading 8 Char"/>
    <w:basedOn w:val="1037"/>
    <w:link w:val="875"/>
    <w:uiPriority w:val="9"/>
    <w:rPr>
      <w:rFonts w:ascii="Arial" w:hAnsi="Arial" w:eastAsia="Arial" w:cs="Arial"/>
      <w:i/>
      <w:iCs/>
      <w:sz w:val="22"/>
      <w:szCs w:val="22"/>
    </w:rPr>
  </w:style>
  <w:style w:type="paragraph" w:styleId="877">
    <w:name w:val="Heading 9"/>
    <w:basedOn w:val="1032"/>
    <w:next w:val="1032"/>
    <w:link w:val="8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8">
    <w:name w:val="Heading 9 Char"/>
    <w:basedOn w:val="1037"/>
    <w:link w:val="877"/>
    <w:uiPriority w:val="9"/>
    <w:rPr>
      <w:rFonts w:ascii="Arial" w:hAnsi="Arial" w:eastAsia="Arial" w:cs="Arial"/>
      <w:i/>
      <w:iCs/>
      <w:sz w:val="21"/>
      <w:szCs w:val="21"/>
    </w:rPr>
  </w:style>
  <w:style w:type="character" w:styleId="879">
    <w:name w:val="Title Char"/>
    <w:basedOn w:val="1037"/>
    <w:link w:val="1044"/>
    <w:uiPriority w:val="10"/>
    <w:rPr>
      <w:sz w:val="48"/>
      <w:szCs w:val="48"/>
    </w:rPr>
  </w:style>
  <w:style w:type="paragraph" w:styleId="880">
    <w:name w:val="Subtitle"/>
    <w:basedOn w:val="1032"/>
    <w:next w:val="1032"/>
    <w:link w:val="881"/>
    <w:uiPriority w:val="11"/>
    <w:qFormat/>
    <w:pPr>
      <w:spacing w:before="200" w:after="200"/>
    </w:pPr>
    <w:rPr>
      <w:sz w:val="24"/>
      <w:szCs w:val="24"/>
    </w:rPr>
  </w:style>
  <w:style w:type="character" w:styleId="881">
    <w:name w:val="Subtitle Char"/>
    <w:basedOn w:val="1037"/>
    <w:link w:val="880"/>
    <w:uiPriority w:val="11"/>
    <w:rPr>
      <w:sz w:val="24"/>
      <w:szCs w:val="24"/>
    </w:rPr>
  </w:style>
  <w:style w:type="paragraph" w:styleId="882">
    <w:name w:val="Quote"/>
    <w:basedOn w:val="1032"/>
    <w:next w:val="1032"/>
    <w:link w:val="883"/>
    <w:uiPriority w:val="29"/>
    <w:qFormat/>
    <w:pPr>
      <w:ind w:left="720" w:right="720"/>
    </w:pPr>
    <w:rPr>
      <w:i/>
    </w:rPr>
  </w:style>
  <w:style w:type="character" w:styleId="883">
    <w:name w:val="Quote Char"/>
    <w:link w:val="882"/>
    <w:uiPriority w:val="29"/>
    <w:rPr>
      <w:i/>
    </w:rPr>
  </w:style>
  <w:style w:type="paragraph" w:styleId="884">
    <w:name w:val="Intense Quote"/>
    <w:basedOn w:val="1032"/>
    <w:next w:val="1032"/>
    <w:link w:val="8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5">
    <w:name w:val="Intense Quote Char"/>
    <w:link w:val="884"/>
    <w:uiPriority w:val="30"/>
    <w:rPr>
      <w:i/>
    </w:rPr>
  </w:style>
  <w:style w:type="paragraph" w:styleId="886">
    <w:name w:val="Header"/>
    <w:basedOn w:val="1032"/>
    <w:link w:val="8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87">
    <w:name w:val="Header Char"/>
    <w:basedOn w:val="1037"/>
    <w:link w:val="886"/>
    <w:uiPriority w:val="99"/>
  </w:style>
  <w:style w:type="character" w:styleId="888">
    <w:name w:val="Footer Char"/>
    <w:basedOn w:val="1037"/>
    <w:link w:val="1060"/>
    <w:uiPriority w:val="99"/>
  </w:style>
  <w:style w:type="paragraph" w:styleId="889">
    <w:name w:val="Caption"/>
    <w:basedOn w:val="1032"/>
    <w:next w:val="1032"/>
    <w:link w:val="8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90">
    <w:name w:val="Caption Char"/>
    <w:basedOn w:val="1037"/>
    <w:link w:val="889"/>
    <w:uiPriority w:val="35"/>
    <w:rPr>
      <w:b/>
      <w:bCs/>
      <w:color w:val="4f81bd" w:themeColor="accent1"/>
      <w:sz w:val="18"/>
      <w:szCs w:val="18"/>
    </w:rPr>
  </w:style>
  <w:style w:type="table" w:styleId="891">
    <w:name w:val="Table Grid"/>
    <w:basedOn w:val="10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2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4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5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6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8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0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1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3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5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6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7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8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9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30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1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2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3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4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5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6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7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8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9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0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5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6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7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8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9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0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1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3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4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5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6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7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8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9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0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1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2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3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4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95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96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7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8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9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0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1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2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3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4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5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6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7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8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9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0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1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2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3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4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5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6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7">
    <w:name w:val="Footnote Text Char"/>
    <w:link w:val="1067"/>
    <w:uiPriority w:val="99"/>
    <w:rPr>
      <w:sz w:val="18"/>
    </w:rPr>
  </w:style>
  <w:style w:type="paragraph" w:styleId="1018">
    <w:name w:val="endnote text"/>
    <w:basedOn w:val="1032"/>
    <w:link w:val="1019"/>
    <w:uiPriority w:val="99"/>
    <w:semiHidden/>
    <w:unhideWhenUsed/>
    <w:pPr>
      <w:spacing w:after="0" w:line="240" w:lineRule="auto"/>
    </w:pPr>
    <w:rPr>
      <w:sz w:val="20"/>
    </w:rPr>
  </w:style>
  <w:style w:type="character" w:styleId="1019">
    <w:name w:val="Endnote Text Char"/>
    <w:link w:val="1018"/>
    <w:uiPriority w:val="99"/>
    <w:rPr>
      <w:sz w:val="20"/>
    </w:rPr>
  </w:style>
  <w:style w:type="character" w:styleId="1020">
    <w:name w:val="endnote reference"/>
    <w:basedOn w:val="1037"/>
    <w:uiPriority w:val="99"/>
    <w:semiHidden/>
    <w:unhideWhenUsed/>
    <w:rPr>
      <w:vertAlign w:val="superscript"/>
    </w:rPr>
  </w:style>
  <w:style w:type="paragraph" w:styleId="1021">
    <w:name w:val="toc 1"/>
    <w:basedOn w:val="1032"/>
    <w:next w:val="1032"/>
    <w:uiPriority w:val="39"/>
    <w:unhideWhenUsed/>
    <w:pPr>
      <w:ind w:left="0" w:right="0" w:firstLine="0"/>
      <w:spacing w:after="57"/>
    </w:pPr>
  </w:style>
  <w:style w:type="paragraph" w:styleId="1022">
    <w:name w:val="toc 2"/>
    <w:basedOn w:val="1032"/>
    <w:next w:val="1032"/>
    <w:uiPriority w:val="39"/>
    <w:unhideWhenUsed/>
    <w:pPr>
      <w:ind w:left="283" w:right="0" w:firstLine="0"/>
      <w:spacing w:after="57"/>
    </w:pPr>
  </w:style>
  <w:style w:type="paragraph" w:styleId="1023">
    <w:name w:val="toc 3"/>
    <w:basedOn w:val="1032"/>
    <w:next w:val="1032"/>
    <w:uiPriority w:val="39"/>
    <w:unhideWhenUsed/>
    <w:pPr>
      <w:ind w:left="567" w:right="0" w:firstLine="0"/>
      <w:spacing w:after="57"/>
    </w:pPr>
  </w:style>
  <w:style w:type="paragraph" w:styleId="1024">
    <w:name w:val="toc 4"/>
    <w:basedOn w:val="1032"/>
    <w:next w:val="1032"/>
    <w:uiPriority w:val="39"/>
    <w:unhideWhenUsed/>
    <w:pPr>
      <w:ind w:left="850" w:right="0" w:firstLine="0"/>
      <w:spacing w:after="57"/>
    </w:pPr>
  </w:style>
  <w:style w:type="paragraph" w:styleId="1025">
    <w:name w:val="toc 5"/>
    <w:basedOn w:val="1032"/>
    <w:next w:val="1032"/>
    <w:uiPriority w:val="39"/>
    <w:unhideWhenUsed/>
    <w:pPr>
      <w:ind w:left="1134" w:right="0" w:firstLine="0"/>
      <w:spacing w:after="57"/>
    </w:pPr>
  </w:style>
  <w:style w:type="paragraph" w:styleId="1026">
    <w:name w:val="toc 6"/>
    <w:basedOn w:val="1032"/>
    <w:next w:val="1032"/>
    <w:uiPriority w:val="39"/>
    <w:unhideWhenUsed/>
    <w:pPr>
      <w:ind w:left="1417" w:right="0" w:firstLine="0"/>
      <w:spacing w:after="57"/>
    </w:pPr>
  </w:style>
  <w:style w:type="paragraph" w:styleId="1027">
    <w:name w:val="toc 7"/>
    <w:basedOn w:val="1032"/>
    <w:next w:val="1032"/>
    <w:uiPriority w:val="39"/>
    <w:unhideWhenUsed/>
    <w:pPr>
      <w:ind w:left="1701" w:right="0" w:firstLine="0"/>
      <w:spacing w:after="57"/>
    </w:pPr>
  </w:style>
  <w:style w:type="paragraph" w:styleId="1028">
    <w:name w:val="toc 8"/>
    <w:basedOn w:val="1032"/>
    <w:next w:val="1032"/>
    <w:uiPriority w:val="39"/>
    <w:unhideWhenUsed/>
    <w:pPr>
      <w:ind w:left="1984" w:right="0" w:firstLine="0"/>
      <w:spacing w:after="57"/>
    </w:pPr>
  </w:style>
  <w:style w:type="paragraph" w:styleId="1029">
    <w:name w:val="toc 9"/>
    <w:basedOn w:val="1032"/>
    <w:next w:val="1032"/>
    <w:uiPriority w:val="39"/>
    <w:unhideWhenUsed/>
    <w:pPr>
      <w:ind w:left="2268" w:right="0" w:firstLine="0"/>
      <w:spacing w:after="57"/>
    </w:pPr>
  </w:style>
  <w:style w:type="paragraph" w:styleId="1030">
    <w:name w:val="TOC Heading"/>
    <w:uiPriority w:val="39"/>
    <w:unhideWhenUsed/>
  </w:style>
  <w:style w:type="paragraph" w:styleId="1031">
    <w:name w:val="table of figures"/>
    <w:basedOn w:val="1032"/>
    <w:next w:val="1032"/>
    <w:uiPriority w:val="99"/>
    <w:unhideWhenUsed/>
    <w:pPr>
      <w:spacing w:after="0" w:afterAutospacing="0"/>
    </w:pPr>
  </w:style>
  <w:style w:type="paragraph" w:styleId="10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3">
    <w:name w:val="Heading 1"/>
    <w:basedOn w:val="1032"/>
    <w:next w:val="1032"/>
    <w:link w:val="1040"/>
    <w:qFormat/>
    <w:pPr>
      <w:jc w:val="center"/>
      <w:keepNext/>
      <w:outlineLvl w:val="0"/>
    </w:pPr>
    <w:rPr>
      <w:sz w:val="28"/>
    </w:rPr>
  </w:style>
  <w:style w:type="paragraph" w:styleId="1034">
    <w:name w:val="Heading 2"/>
    <w:basedOn w:val="1032"/>
    <w:next w:val="1032"/>
    <w:link w:val="1065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35">
    <w:name w:val="Heading 3"/>
    <w:basedOn w:val="1032"/>
    <w:next w:val="1032"/>
    <w:link w:val="1063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36">
    <w:name w:val="Heading 5"/>
    <w:basedOn w:val="1032"/>
    <w:next w:val="1032"/>
    <w:link w:val="1058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character" w:styleId="1040" w:customStyle="1">
    <w:name w:val="Заголовок 1 Знак"/>
    <w:basedOn w:val="1037"/>
    <w:link w:val="1033"/>
    <w:rPr>
      <w:rFonts w:ascii="Times New Roman" w:hAnsi="Times New Roman" w:eastAsia="Times New Roman" w:cs="Times New Roman"/>
      <w:sz w:val="28"/>
      <w:szCs w:val="24"/>
    </w:rPr>
  </w:style>
  <w:style w:type="paragraph" w:styleId="1041">
    <w:name w:val="Body Text Indent"/>
    <w:basedOn w:val="1032"/>
    <w:link w:val="1042"/>
    <w:uiPriority w:val="99"/>
    <w:pPr>
      <w:ind w:left="1083" w:firstLine="537"/>
      <w:jc w:val="both"/>
      <w:tabs>
        <w:tab w:val="num" w:pos="0" w:leader="none"/>
      </w:tabs>
    </w:pPr>
  </w:style>
  <w:style w:type="character" w:styleId="1042" w:customStyle="1">
    <w:name w:val="Основной текст с отступом Знак"/>
    <w:basedOn w:val="1037"/>
    <w:link w:val="1041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43">
    <w:name w:val="Normal (Web)"/>
    <w:basedOn w:val="1032"/>
    <w:uiPriority w:val="99"/>
    <w:pPr>
      <w:spacing w:before="100" w:beforeAutospacing="1" w:after="100" w:afterAutospacing="1"/>
    </w:pPr>
  </w:style>
  <w:style w:type="paragraph" w:styleId="1044">
    <w:name w:val="Title"/>
    <w:basedOn w:val="1032"/>
    <w:link w:val="1045"/>
    <w:uiPriority w:val="10"/>
    <w:qFormat/>
    <w:pPr>
      <w:jc w:val="center"/>
    </w:pPr>
    <w:rPr>
      <w:sz w:val="28"/>
    </w:rPr>
  </w:style>
  <w:style w:type="character" w:styleId="1045" w:customStyle="1">
    <w:name w:val="Заголовок Знак"/>
    <w:basedOn w:val="1037"/>
    <w:link w:val="1044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46" w:customStyle="1">
    <w:name w:val="Подподпункт"/>
    <w:basedOn w:val="1032"/>
  </w:style>
  <w:style w:type="paragraph" w:styleId="1047">
    <w:name w:val="Plain Text"/>
    <w:basedOn w:val="1032"/>
    <w:link w:val="1048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48" w:customStyle="1">
    <w:name w:val="Текст Знак"/>
    <w:basedOn w:val="1037"/>
    <w:link w:val="1047"/>
    <w:uiPriority w:val="99"/>
    <w:rPr>
      <w:rFonts w:ascii="Consolas" w:hAnsi="Consolas" w:eastAsia="Calibri" w:cs="Times New Roman"/>
      <w:sz w:val="21"/>
      <w:szCs w:val="21"/>
    </w:rPr>
  </w:style>
  <w:style w:type="character" w:styleId="1049">
    <w:name w:val="annotation reference"/>
    <w:uiPriority w:val="99"/>
    <w:rPr>
      <w:sz w:val="16"/>
      <w:szCs w:val="16"/>
    </w:rPr>
  </w:style>
  <w:style w:type="paragraph" w:styleId="1050">
    <w:name w:val="annotation text"/>
    <w:basedOn w:val="1032"/>
    <w:link w:val="1051"/>
    <w:uiPriority w:val="99"/>
    <w:rPr>
      <w:sz w:val="20"/>
      <w:szCs w:val="20"/>
    </w:rPr>
  </w:style>
  <w:style w:type="character" w:styleId="1051" w:customStyle="1">
    <w:name w:val="Текст примечания Знак"/>
    <w:basedOn w:val="1037"/>
    <w:link w:val="105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2">
    <w:name w:val="Balloon Text"/>
    <w:basedOn w:val="1032"/>
    <w:link w:val="1053"/>
    <w:uiPriority w:val="99"/>
    <w:semiHidden/>
    <w:unhideWhenUsed/>
    <w:rPr>
      <w:rFonts w:ascii="Tahoma" w:hAnsi="Tahoma" w:cs="Tahoma"/>
      <w:sz w:val="16"/>
      <w:szCs w:val="16"/>
    </w:rPr>
  </w:style>
  <w:style w:type="character" w:styleId="1053" w:customStyle="1">
    <w:name w:val="Текст выноски Знак"/>
    <w:basedOn w:val="1037"/>
    <w:link w:val="105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54">
    <w:name w:val="annotation subject"/>
    <w:basedOn w:val="1050"/>
    <w:next w:val="1050"/>
    <w:link w:val="1055"/>
    <w:uiPriority w:val="99"/>
    <w:semiHidden/>
    <w:unhideWhenUsed/>
    <w:rPr>
      <w:b/>
      <w:bCs/>
    </w:rPr>
  </w:style>
  <w:style w:type="character" w:styleId="1055" w:customStyle="1">
    <w:name w:val="Тема примечания Знак"/>
    <w:basedOn w:val="1051"/>
    <w:link w:val="105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56">
    <w:name w:val="List Paragraph"/>
    <w:basedOn w:val="1032"/>
    <w:link w:val="1064"/>
    <w:uiPriority w:val="34"/>
    <w:qFormat/>
    <w:pPr>
      <w:contextualSpacing/>
      <w:ind w:left="720"/>
    </w:pPr>
  </w:style>
  <w:style w:type="character" w:styleId="1057">
    <w:name w:val="Hyperlink"/>
    <w:basedOn w:val="1037"/>
    <w:uiPriority w:val="99"/>
    <w:unhideWhenUsed/>
    <w:rPr>
      <w:color w:val="0000ff"/>
      <w:u w:val="single"/>
    </w:rPr>
  </w:style>
  <w:style w:type="character" w:styleId="1058" w:customStyle="1">
    <w:name w:val="Заголовок 5 Знак"/>
    <w:basedOn w:val="1037"/>
    <w:link w:val="1036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5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0">
    <w:name w:val="Footer"/>
    <w:basedOn w:val="1032"/>
    <w:link w:val="1061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61" w:customStyle="1">
    <w:name w:val="Нижний колонтитул Знак"/>
    <w:basedOn w:val="1037"/>
    <w:link w:val="1060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62">
    <w:name w:val="page number"/>
    <w:basedOn w:val="1037"/>
  </w:style>
  <w:style w:type="character" w:styleId="1063" w:customStyle="1">
    <w:name w:val="Заголовок 3 Знак"/>
    <w:basedOn w:val="1037"/>
    <w:link w:val="1035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64" w:customStyle="1">
    <w:name w:val="Абзац списка Знак"/>
    <w:basedOn w:val="1037"/>
    <w:link w:val="1056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5" w:customStyle="1">
    <w:name w:val="Заголовок 2 Знак"/>
    <w:basedOn w:val="1037"/>
    <w:link w:val="1034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6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7">
    <w:name w:val="footnote text"/>
    <w:basedOn w:val="1032"/>
    <w:link w:val="1068"/>
    <w:uiPriority w:val="99"/>
    <w:unhideWhenUsed/>
    <w:rPr>
      <w:sz w:val="20"/>
      <w:szCs w:val="20"/>
    </w:rPr>
  </w:style>
  <w:style w:type="character" w:styleId="1068" w:customStyle="1">
    <w:name w:val="Текст сноски Знак"/>
    <w:basedOn w:val="1037"/>
    <w:link w:val="106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9">
    <w:name w:val="footnote reference"/>
    <w:basedOn w:val="1037"/>
    <w:uiPriority w:val="99"/>
    <w:unhideWhenUsed/>
    <w:rPr>
      <w:vertAlign w:val="superscript"/>
    </w:rPr>
  </w:style>
  <w:style w:type="paragraph" w:styleId="1070" w:customStyle="1">
    <w:name w:val="1-з"/>
    <w:qFormat/>
    <w:pPr>
      <w:numPr>
        <w:ilvl w:val="0"/>
        <w:numId w:val="0"/>
      </w:numPr>
      <w:contextualSpacing w:val="0"/>
      <w:ind w:left="360" w:right="0" w:hanging="360"/>
      <w:jc w:val="center"/>
      <w:keepLines w:val="0"/>
      <w:keepNext w:val="0"/>
      <w:pageBreakBefore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1" w:customStyle="1">
    <w:name w:val="2-з"/>
    <w:basedOn w:val="1032"/>
    <w:qFormat/>
    <w:pPr>
      <w:numPr>
        <w:ilvl w:val="1"/>
        <w:numId w:val="0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2" w:customStyle="1">
    <w:name w:val="3-з"/>
    <w:qFormat/>
    <w:pPr>
      <w:numPr>
        <w:ilvl w:val="2"/>
        <w:numId w:val="0"/>
      </w:numPr>
      <w:contextualSpacing w:val="0"/>
      <w:ind w:left="1135" w:right="0" w:hanging="567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14D74-33E8-410B-8A1E-6636E27C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Kazancev-NA</cp:lastModifiedBy>
  <cp:revision>46</cp:revision>
  <dcterms:created xsi:type="dcterms:W3CDTF">2025-07-29T06:56:00Z</dcterms:created>
  <dcterms:modified xsi:type="dcterms:W3CDTF">2026-07-07T10:30:03Z</dcterms:modified>
</cp:coreProperties>
</file>